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MARINA SOUTO ROSA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MÍDIA, ESPETACULARIZAÇÃO DO PROCESSO PENAL E OS RISCOS AO PRINCÍPIO DA PRESUNÇÃO DE INOCÊNCIA NO SISTEMA JURÍDICO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Trabalho de conclusão de curso apresentado como requisito para obtenção de título de bacharel em Direito, na Faculdade de Direito da Fundação Escola Superior do Ministério Público.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Aprovado em: 11 de julho de 2023.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BANCA EXAMINADORA: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Dra. Raquel Fabiana Lopes Sparemberger (Orientadora)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Dra. Joseane Mariéle Schuck - FMP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Me. Gilberto Thums - FMP</w:t>
      </w:r>
    </w:p>
    <w:p w:rsidR="00000000" w:rsidDel="00000000" w:rsidP="00000000" w:rsidRDefault="00000000" w:rsidRPr="00000000" w14:paraId="00000020">
      <w:pPr>
        <w:pStyle w:val="Title"/>
        <w:ind w:left="0" w:right="-66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ind w:left="0" w:right="-66" w:firstLine="0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22">
      <w:pPr>
        <w:pStyle w:val="Title"/>
        <w:spacing w:line="360" w:lineRule="auto"/>
        <w:ind w:firstLine="40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ia, espetacularização do processo penal, e os riscos ao princípio da presunção de inocência no sistema jurídico brasileiro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Trabalho de Conclusão de Curso (Bacharelado em Direito) – Faculdade de Direito da Fundação Escola Superior do Ministério Público, Porto Alegre,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presente pesquisa busca demonstrar a influência da mídia no processo penal, a fim de buscar o entendimento sobre o papel que os meios de comunicação exercem sobre a sociedade, e de que forma tal influência alcança o direito penal, principalmente ao discorrer sobre casos criminais que desencadeiam a espetacularização do processo penal. O método de abordagem é o hipotético-dedutivo, pesquisa qualitativa com análise de casos de repercussão e técnica de pesquisa bibliográfica e jurisprudencial. Assim, é feita uma contextualização histórica do surgimento dos meios de comunicação, discorrendo brevemente sobre o surgimento dos meios de comunicação no Brasil. Apresenta a mídia como quarto poder e de que forma ela exerce o controle do medo na coletividade. Enfatiza, ainda, as garantias do acusado em relação ao direito que a mídia tem de informar, trazendo as consequências da espetacularização do processo penal para o Direito, sobretudo no que tange ao princípio da presunção de inocência. Por fim, apresenta o direito ao esquecimento, como uma possibilidade de análise, bem como outras diretrizes que estão sendo discutidas atualmente. O estudo retrata, ainda, casos concretos como o da Escola-Base e Boate Kiss. Ao término da pesquisa, restou demonstrado que a mídia exerce uma influência de grande magnitude no âmbito do Direito Penal, e que essa espetacularização em torno de casos criminais possui consequências negativas para diversos direitos fundamentais dos suspeitos e acusados.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0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mídia; espetacularização do processo penal; princípios penais; presunção de inocência; liberdade de expressão.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580" w:left="16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080.0" w:type="dxa"/>
      <w:jc w:val="center"/>
      <w:tblBorders>
        <w:top w:color="7f7f7f" w:space="0" w:sz="24" w:val="single"/>
        <w:bottom w:color="7f7f7f" w:space="0" w:sz="24" w:val="single"/>
      </w:tblBorders>
      <w:tblLayout w:type="fixed"/>
      <w:tblLook w:val="0400"/>
    </w:tblPr>
    <w:tblGrid>
      <w:gridCol w:w="2586"/>
      <w:gridCol w:w="282"/>
      <w:gridCol w:w="7212"/>
      <w:tblGridChange w:id="0">
        <w:tblGrid>
          <w:gridCol w:w="2586"/>
          <w:gridCol w:w="282"/>
          <w:gridCol w:w="7212"/>
        </w:tblGrid>
      </w:tblGridChange>
    </w:tblGrid>
    <w:tr>
      <w:trPr>
        <w:cantSplit w:val="0"/>
        <w:trHeight w:val="1388" w:hRule="atLeast"/>
        <w:tblHeader w:val="0"/>
      </w:trPr>
      <w:tc>
        <w:tcPr>
          <w:tcBorders>
            <w:top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Arial" w:cs="Arial" w:eastAsia="Arial" w:hAnsi="Arial"/>
              <w:sz w:val="32"/>
              <w:szCs w:val="32"/>
            </w:rPr>
            <w:drawing>
              <wp:inline distB="0" distT="0" distL="0" distR="0">
                <wp:extent cx="1495425" cy="733425"/>
                <wp:effectExtent b="0" l="0" r="0" t="0"/>
                <wp:docPr descr="Uma imagem contendo desenho&#10;&#10;Descrição gerada automaticamente" id="2" name="image1.png"/>
                <a:graphic>
                  <a:graphicData uri="http://schemas.openxmlformats.org/drawingml/2006/picture">
                    <pic:pic>
                      <pic:nvPicPr>
                        <pic:cNvPr descr="Uma imagem contendo desenho&#10;&#10;Descrição gerada automa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A">
          <w:pPr>
            <w:tabs>
              <w:tab w:val="center" w:leader="none" w:pos="4252"/>
              <w:tab w:val="right" w:leader="none" w:pos="8504"/>
            </w:tabs>
            <w:ind w:left="-638" w:hanging="140.99999999999994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B">
          <w:pPr>
            <w:jc w:val="center"/>
            <w:rPr>
              <w:rFonts w:ascii="Candara" w:cs="Candara" w:eastAsia="Candara" w:hAnsi="Candara"/>
              <w:b w:val="1"/>
              <w:smallCaps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Candara" w:cs="Candara" w:eastAsia="Candara" w:hAnsi="Candara"/>
              <w:b w:val="1"/>
              <w:smallCaps w:val="1"/>
              <w:sz w:val="16"/>
              <w:szCs w:val="16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smallCaps w:val="1"/>
              <w:sz w:val="16"/>
              <w:szCs w:val="16"/>
              <w:rtl w:val="0"/>
            </w:rPr>
            <w:t xml:space="preserve">Faculdade de Direito da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Candara" w:cs="Candara" w:eastAsia="Candara" w:hAnsi="Candara"/>
              <w:sz w:val="16"/>
              <w:szCs w:val="16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smallCaps w:val="1"/>
              <w:sz w:val="16"/>
              <w:szCs w:val="16"/>
              <w:rtl w:val="0"/>
            </w:rPr>
            <w:t xml:space="preserve">Fundação Escola Superior do ministério Público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Candara" w:cs="Candara" w:eastAsia="Candara" w:hAnsi="Candara"/>
              <w:sz w:val="16"/>
              <w:szCs w:val="16"/>
            </w:rPr>
          </w:pPr>
          <w:r w:rsidDel="00000000" w:rsidR="00000000" w:rsidRPr="00000000">
            <w:rPr>
              <w:rFonts w:ascii="Candara" w:cs="Candara" w:eastAsia="Candara" w:hAnsi="Candara"/>
              <w:sz w:val="16"/>
              <w:szCs w:val="16"/>
              <w:rtl w:val="0"/>
            </w:rPr>
            <w:t xml:space="preserve">Recredenciada pela Portaria MEC nº 2.132/2019 – DOU nº 240 de 12/12/2019 p.66, Seção 1.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Candara" w:cs="Candara" w:eastAsia="Candara" w:hAnsi="Candara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Candara" w:cs="Candara" w:eastAsia="Candara" w:hAnsi="Candara"/>
              <w:sz w:val="16"/>
              <w:szCs w:val="16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smallCaps w:val="1"/>
              <w:sz w:val="16"/>
              <w:szCs w:val="16"/>
              <w:rtl w:val="0"/>
            </w:rPr>
            <w:t xml:space="preserve">Curso de Graduação em Direito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Candara" w:cs="Candara" w:eastAsia="Candara" w:hAnsi="Candara"/>
              <w:sz w:val="16"/>
              <w:szCs w:val="16"/>
            </w:rPr>
          </w:pPr>
          <w:r w:rsidDel="00000000" w:rsidR="00000000" w:rsidRPr="00000000">
            <w:rPr>
              <w:rFonts w:ascii="Candara" w:cs="Candara" w:eastAsia="Candara" w:hAnsi="Candara"/>
              <w:sz w:val="16"/>
              <w:szCs w:val="16"/>
              <w:rtl w:val="0"/>
            </w:rPr>
            <w:t xml:space="preserve">Renovação de reconhecimento pela Portaria MEC nº 207/2020 – DOU nº 128 de 7/7/2020, p.66, Seção 1.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Candara" w:cs="Candara" w:eastAsia="Candara" w:hAnsi="Candara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4" w:lineRule="auto"/>
      <w:ind w:left="4093" w:right="4103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"/>
    <w:qFormat w:val="1"/>
    <w:pPr>
      <w:spacing w:before="104"/>
      <w:ind w:left="4093" w:right="4103"/>
      <w:jc w:val="center"/>
    </w:pPr>
    <w:rPr>
      <w:rFonts w:ascii="Arial" w:cs="Arial" w:eastAsia="Arial" w:hAnsi="Arial"/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624EF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24EF4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24EF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24EF4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7qoKihuiQGmuEofOeFWVDzFLw==">CgMxLjA4AHIhMUk5SjFiU1FCNzRXY1kxSzdfVXkzZDhHckxHWDMxWng5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2022-06-01T18:30:00Z</dcterms:created>
  <dc:creator>Cristini Fernandes Borth Klippel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2021-12-20T00:00:00Z</vt:filetime>
  </property>
</Properties>
</file>