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7264" w14:textId="57A70FFB" w:rsidR="00566BCA" w:rsidRPr="003F2D84" w:rsidRDefault="00946F6D" w:rsidP="00566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MATHEUS GILBERTO AVER PUPE</w:t>
      </w:r>
    </w:p>
    <w:p w14:paraId="3C3453F3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3E856127" w14:textId="77777777" w:rsidR="00566BCA" w:rsidRPr="003F2D84" w:rsidRDefault="00566BCA" w:rsidP="00566BCA">
      <w:pPr>
        <w:spacing w:line="360" w:lineRule="auto"/>
        <w:rPr>
          <w:rFonts w:ascii="Arial" w:hAnsi="Arial" w:cs="Arial"/>
        </w:rPr>
      </w:pPr>
    </w:p>
    <w:p w14:paraId="1DECE0C6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458C1838" w14:textId="2589C9D4" w:rsidR="00566BCA" w:rsidRPr="003F2D84" w:rsidRDefault="00946F6D" w:rsidP="00566BC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ARBITRAGEM COMERCIAL E CONTROLE DE CONSTITUCIONALIDADE</w:t>
      </w:r>
    </w:p>
    <w:p w14:paraId="2A89F01D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08CD653A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4AB109A2" w14:textId="77777777" w:rsidR="00566BCA" w:rsidRPr="00272D87" w:rsidRDefault="00566BCA" w:rsidP="00566BCA">
      <w:pPr>
        <w:ind w:left="4536"/>
        <w:jc w:val="both"/>
        <w:rPr>
          <w:rFonts w:ascii="Arial" w:hAnsi="Arial" w:cs="Arial"/>
        </w:rPr>
      </w:pPr>
      <w:r w:rsidRPr="00272D87">
        <w:rPr>
          <w:rFonts w:ascii="Arial" w:hAnsi="Arial" w:cs="Arial"/>
        </w:rPr>
        <w:t xml:space="preserve">Trabalho de conclusão de curso apresentado como requisito para obtenção de título de bacharel em Direito, na Faculdade de Direito da </w:t>
      </w:r>
      <w:r>
        <w:rPr>
          <w:rFonts w:ascii="Arial" w:hAnsi="Arial" w:cs="Arial"/>
        </w:rPr>
        <w:t>Fundação Escola Superior do Ministério Público.</w:t>
      </w:r>
    </w:p>
    <w:p w14:paraId="04CB6219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097F0F2F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6A763718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542C7653" w14:textId="30A36327" w:rsidR="00566BCA" w:rsidRPr="003F2D84" w:rsidRDefault="00566BCA" w:rsidP="00946F6D">
      <w:pPr>
        <w:rPr>
          <w:rFonts w:ascii="Arial" w:hAnsi="Arial" w:cs="Arial"/>
        </w:rPr>
      </w:pPr>
      <w:r w:rsidRPr="003F2D84">
        <w:rPr>
          <w:rFonts w:ascii="Arial" w:hAnsi="Arial" w:cs="Arial"/>
        </w:rPr>
        <w:t xml:space="preserve">Aprovado em: </w:t>
      </w:r>
      <w:r w:rsidR="00946F6D">
        <w:rPr>
          <w:rFonts w:ascii="Arial" w:hAnsi="Arial" w:cs="Arial"/>
        </w:rPr>
        <w:t>12</w:t>
      </w:r>
      <w:r w:rsidRPr="003F2D84">
        <w:rPr>
          <w:rFonts w:ascii="Arial" w:hAnsi="Arial" w:cs="Arial"/>
        </w:rPr>
        <w:t xml:space="preserve"> de </w:t>
      </w:r>
      <w:r w:rsidR="00946F6D">
        <w:rPr>
          <w:rFonts w:ascii="Arial" w:hAnsi="Arial" w:cs="Arial"/>
        </w:rPr>
        <w:t>Julho</w:t>
      </w:r>
      <w:r w:rsidRPr="003F2D8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946F6D">
        <w:rPr>
          <w:rFonts w:ascii="Arial" w:hAnsi="Arial" w:cs="Arial"/>
        </w:rPr>
        <w:t>3</w:t>
      </w:r>
      <w:r w:rsidRPr="003F2D84">
        <w:rPr>
          <w:rFonts w:ascii="Arial" w:hAnsi="Arial" w:cs="Arial"/>
        </w:rPr>
        <w:t>.</w:t>
      </w:r>
    </w:p>
    <w:p w14:paraId="48C4297D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28788A5C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3360BF1E" w14:textId="77777777" w:rsidR="00566BCA" w:rsidRPr="003F2D84" w:rsidRDefault="00566BCA" w:rsidP="00566BCA">
      <w:pPr>
        <w:spacing w:line="360" w:lineRule="auto"/>
        <w:jc w:val="center"/>
        <w:rPr>
          <w:rFonts w:ascii="Arial" w:hAnsi="Arial" w:cs="Arial"/>
        </w:rPr>
      </w:pPr>
    </w:p>
    <w:p w14:paraId="2190B79E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  <w:r w:rsidRPr="003F2D84">
        <w:rPr>
          <w:rFonts w:ascii="Arial" w:hAnsi="Arial" w:cs="Arial"/>
          <w:b/>
        </w:rPr>
        <w:t>BANCA EXAMINADORA:</w:t>
      </w:r>
    </w:p>
    <w:p w14:paraId="47E0FA72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</w:p>
    <w:p w14:paraId="1CF4BD49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</w:p>
    <w:p w14:paraId="740E5323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</w:p>
    <w:p w14:paraId="649859B4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  <w:r w:rsidRPr="003F2D84">
        <w:rPr>
          <w:rFonts w:ascii="Arial" w:hAnsi="Arial" w:cs="Arial"/>
          <w:b/>
        </w:rPr>
        <w:t>__________________________________________________________</w:t>
      </w:r>
    </w:p>
    <w:p w14:paraId="43B62F20" w14:textId="6F8A0EC9" w:rsidR="00566BCA" w:rsidRPr="003F2D84" w:rsidRDefault="00477B10" w:rsidP="00566BCA">
      <w:pPr>
        <w:jc w:val="center"/>
        <w:rPr>
          <w:rFonts w:ascii="Arial" w:hAnsi="Arial" w:cs="Arial"/>
        </w:rPr>
      </w:pPr>
      <w:r w:rsidRPr="00477B10">
        <w:rPr>
          <w:rFonts w:ascii="Arial" w:hAnsi="Arial" w:cs="Arial"/>
        </w:rPr>
        <w:t xml:space="preserve">Prof. Dr. Luiz Fernando Calil de Freitas </w:t>
      </w:r>
      <w:r w:rsidR="00566BCA" w:rsidRPr="003F2D84">
        <w:rPr>
          <w:rFonts w:ascii="Arial" w:hAnsi="Arial" w:cs="Arial"/>
        </w:rPr>
        <w:t>(Orientador)</w:t>
      </w:r>
    </w:p>
    <w:p w14:paraId="3F3AA535" w14:textId="77777777" w:rsidR="00566BCA" w:rsidRPr="003F2D84" w:rsidRDefault="00566BCA" w:rsidP="00566BCA">
      <w:pPr>
        <w:jc w:val="center"/>
        <w:rPr>
          <w:rFonts w:ascii="Arial" w:hAnsi="Arial" w:cs="Arial"/>
        </w:rPr>
      </w:pPr>
    </w:p>
    <w:p w14:paraId="47E0C024" w14:textId="77777777" w:rsidR="00566BCA" w:rsidRPr="003F2D84" w:rsidRDefault="00566BCA" w:rsidP="00566BCA">
      <w:pPr>
        <w:jc w:val="center"/>
        <w:rPr>
          <w:rFonts w:ascii="Arial" w:hAnsi="Arial" w:cs="Arial"/>
        </w:rPr>
      </w:pPr>
    </w:p>
    <w:p w14:paraId="1437EF69" w14:textId="77777777" w:rsidR="00566BCA" w:rsidRPr="003F2D84" w:rsidRDefault="00566BCA" w:rsidP="00566BCA">
      <w:pPr>
        <w:jc w:val="center"/>
        <w:rPr>
          <w:rFonts w:ascii="Arial" w:hAnsi="Arial" w:cs="Arial"/>
        </w:rPr>
      </w:pPr>
    </w:p>
    <w:p w14:paraId="40E849D0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  <w:r w:rsidRPr="003F2D84">
        <w:rPr>
          <w:rFonts w:ascii="Arial" w:hAnsi="Arial" w:cs="Arial"/>
          <w:b/>
        </w:rPr>
        <w:t>__________________________________________________________</w:t>
      </w:r>
    </w:p>
    <w:p w14:paraId="6F68F437" w14:textId="14A5F640" w:rsidR="00566BCA" w:rsidRPr="003F2D84" w:rsidRDefault="00477B10" w:rsidP="00566BCA">
      <w:pPr>
        <w:jc w:val="center"/>
        <w:rPr>
          <w:rFonts w:ascii="Arial" w:hAnsi="Arial" w:cs="Arial"/>
        </w:rPr>
      </w:pPr>
      <w:r w:rsidRPr="00477B10">
        <w:rPr>
          <w:rFonts w:ascii="Arial" w:hAnsi="Arial" w:cs="Arial"/>
        </w:rPr>
        <w:t>Prof. Dr. André de Azevedo Coelho</w:t>
      </w:r>
    </w:p>
    <w:p w14:paraId="286DD42C" w14:textId="77777777" w:rsidR="00566BCA" w:rsidRPr="003F2D84" w:rsidRDefault="00566BCA" w:rsidP="00566BCA">
      <w:pPr>
        <w:jc w:val="center"/>
        <w:rPr>
          <w:rFonts w:ascii="Arial" w:hAnsi="Arial" w:cs="Arial"/>
        </w:rPr>
      </w:pPr>
    </w:p>
    <w:p w14:paraId="18716EEF" w14:textId="77777777" w:rsidR="00566BCA" w:rsidRDefault="00566BCA" w:rsidP="00566BCA">
      <w:pPr>
        <w:jc w:val="center"/>
        <w:rPr>
          <w:rFonts w:ascii="Arial" w:hAnsi="Arial" w:cs="Arial"/>
        </w:rPr>
      </w:pPr>
    </w:p>
    <w:p w14:paraId="3017591A" w14:textId="77777777" w:rsidR="00477B10" w:rsidRPr="003F2D84" w:rsidRDefault="00477B10" w:rsidP="00566BCA">
      <w:pPr>
        <w:jc w:val="center"/>
        <w:rPr>
          <w:rFonts w:ascii="Arial" w:hAnsi="Arial" w:cs="Arial"/>
        </w:rPr>
      </w:pPr>
    </w:p>
    <w:p w14:paraId="52B97D39" w14:textId="77777777" w:rsidR="00566BCA" w:rsidRPr="003F2D84" w:rsidRDefault="00566BCA" w:rsidP="00566BCA">
      <w:pPr>
        <w:jc w:val="center"/>
        <w:rPr>
          <w:rFonts w:ascii="Arial" w:hAnsi="Arial" w:cs="Arial"/>
          <w:b/>
        </w:rPr>
      </w:pPr>
      <w:r w:rsidRPr="003F2D84">
        <w:rPr>
          <w:rFonts w:ascii="Arial" w:hAnsi="Arial" w:cs="Arial"/>
          <w:b/>
        </w:rPr>
        <w:t>__________________________________________________________</w:t>
      </w:r>
    </w:p>
    <w:p w14:paraId="75D0E49E" w14:textId="3ACAD2A8" w:rsidR="00566BCA" w:rsidRDefault="00477B10" w:rsidP="00624EF4">
      <w:pPr>
        <w:pStyle w:val="Ttulo"/>
        <w:ind w:left="0" w:right="-66"/>
      </w:pPr>
      <w:r w:rsidRPr="00477B10">
        <w:rPr>
          <w:rFonts w:eastAsia="Arial MT"/>
          <w:b w:val="0"/>
          <w:bCs w:val="0"/>
          <w:sz w:val="22"/>
          <w:szCs w:val="22"/>
        </w:rPr>
        <w:t>Prof. Dr. Francisco José Borges Motta</w:t>
      </w:r>
      <w:r w:rsidR="00566BCA">
        <w:br w:type="page"/>
      </w:r>
    </w:p>
    <w:p w14:paraId="404386A8" w14:textId="034E81A9" w:rsidR="00D06786" w:rsidRPr="00D06786" w:rsidRDefault="0009088C" w:rsidP="00624EF4">
      <w:pPr>
        <w:pStyle w:val="Ttulo"/>
        <w:ind w:left="0" w:right="-66"/>
      </w:pPr>
      <w:r w:rsidRPr="00D06786">
        <w:lastRenderedPageBreak/>
        <w:t>RESUMO</w:t>
      </w:r>
    </w:p>
    <w:p w14:paraId="7991AE33" w14:textId="77777777" w:rsidR="00D06786" w:rsidRPr="00D06786" w:rsidRDefault="00D06786" w:rsidP="00D06786">
      <w:pPr>
        <w:pStyle w:val="Ttulo"/>
        <w:spacing w:line="360" w:lineRule="auto"/>
      </w:pPr>
    </w:p>
    <w:p w14:paraId="64D4CC31" w14:textId="13334CBB" w:rsidR="00D06786" w:rsidRPr="00D06786" w:rsidRDefault="00946F6D" w:rsidP="00D06786">
      <w:pPr>
        <w:pStyle w:val="Corpodetexto"/>
        <w:ind w:left="102" w:right="108"/>
        <w:rPr>
          <w:rFonts w:ascii="Arial" w:hAnsi="Arial" w:cs="Arial"/>
        </w:rPr>
      </w:pPr>
      <w:r>
        <w:rPr>
          <w:rFonts w:ascii="Arial" w:hAnsi="Arial" w:cs="Arial"/>
        </w:rPr>
        <w:t>PUPE</w:t>
      </w:r>
      <w:r w:rsidR="00D06786" w:rsidRPr="00D067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Matheus Gilberto Aver</w:t>
      </w:r>
      <w:r w:rsidR="00D06786" w:rsidRPr="00D06786">
        <w:rPr>
          <w:rFonts w:ascii="Arial" w:hAnsi="Arial" w:cs="Arial"/>
        </w:rPr>
        <w:t>.</w:t>
      </w:r>
      <w:r w:rsidR="00D06786">
        <w:rPr>
          <w:rFonts w:ascii="Arial" w:hAnsi="Arial" w:cs="Arial"/>
        </w:rPr>
        <w:t xml:space="preserve"> </w:t>
      </w:r>
      <w:r w:rsidR="00D0678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rbitragem comercial e controle de constitucionalidade</w:t>
      </w:r>
      <w:r w:rsidR="00D06786" w:rsidRPr="00D06786">
        <w:rPr>
          <w:rFonts w:ascii="Arial" w:hAnsi="Arial" w:cs="Arial"/>
        </w:rPr>
        <w:t>.</w:t>
      </w:r>
      <w:r w:rsidR="00980A2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980A25">
        <w:rPr>
          <w:rFonts w:ascii="Arial" w:hAnsi="Arial" w:cs="Arial"/>
        </w:rPr>
        <w:t>.</w:t>
      </w:r>
      <w:r w:rsidR="00D06786">
        <w:rPr>
          <w:rFonts w:ascii="Arial" w:hAnsi="Arial" w:cs="Arial"/>
        </w:rPr>
        <w:t xml:space="preserve"> </w:t>
      </w:r>
      <w:r w:rsidR="00D06786" w:rsidRPr="00D06786">
        <w:rPr>
          <w:rFonts w:ascii="Arial" w:hAnsi="Arial" w:cs="Arial"/>
        </w:rPr>
        <w:t>Trabalho de Conclusão de Curso (Bacharelado em Direito) – Faculdade de Direito da Fundação Escola Superior do Ministério Público, Porto Alegre, 202</w:t>
      </w:r>
      <w:r>
        <w:rPr>
          <w:rFonts w:ascii="Arial" w:hAnsi="Arial" w:cs="Arial"/>
        </w:rPr>
        <w:t>3</w:t>
      </w:r>
      <w:r w:rsidR="00D06786" w:rsidRPr="00D06786">
        <w:rPr>
          <w:rFonts w:ascii="Arial" w:hAnsi="Arial" w:cs="Arial"/>
        </w:rPr>
        <w:t>.</w:t>
      </w:r>
    </w:p>
    <w:p w14:paraId="52AA62C5" w14:textId="77777777" w:rsidR="00D06786" w:rsidRPr="00D06786" w:rsidRDefault="00D06786" w:rsidP="00D06786">
      <w:pPr>
        <w:pStyle w:val="Corpodetexto"/>
        <w:spacing w:line="360" w:lineRule="auto"/>
        <w:ind w:right="107"/>
        <w:jc w:val="both"/>
        <w:rPr>
          <w:rFonts w:ascii="Arial" w:hAnsi="Arial" w:cs="Arial"/>
        </w:rPr>
      </w:pPr>
    </w:p>
    <w:p w14:paraId="6D9BF9C7" w14:textId="24140C8B" w:rsidR="00DA79EE" w:rsidRPr="00D06786" w:rsidRDefault="00946F6D" w:rsidP="00D06786">
      <w:pPr>
        <w:pStyle w:val="Corpodetexto"/>
        <w:spacing w:line="360" w:lineRule="auto"/>
        <w:ind w:left="102" w:right="107"/>
        <w:jc w:val="both"/>
        <w:rPr>
          <w:rFonts w:ascii="Arial" w:hAnsi="Arial" w:cs="Arial"/>
        </w:rPr>
      </w:pPr>
      <w:r w:rsidRPr="00946F6D">
        <w:rPr>
          <w:rFonts w:ascii="Arial" w:hAnsi="Arial" w:cs="Arial"/>
        </w:rPr>
        <w:t>Este Trabalho de Conclusão de Curso tem como propósito examinar a possibilidade de o controle de constitucionalidade vir a ser exercido por parte dos árbitros, no contexto do processo arbitral comercial, levando-se em consideração a aplicação do direito brasileiro na resolução de conflitos e os impactos da Supremacia da Constituição Federal</w:t>
      </w:r>
      <w:r w:rsidR="00477B10">
        <w:rPr>
          <w:rFonts w:ascii="Arial" w:hAnsi="Arial" w:cs="Arial"/>
        </w:rPr>
        <w:t>, na</w:t>
      </w:r>
      <w:r w:rsidRPr="00946F6D">
        <w:rPr>
          <w:rFonts w:ascii="Arial" w:hAnsi="Arial" w:cs="Arial"/>
        </w:rPr>
        <w:t xml:space="preserve"> hipótese de “controle arbitral de constitucionalidade”. Assim, o estudo divide-se em dois principais aspectos: inicialmente, são analisados o papel do árbitro e suas vinculações, explorando-se e assumindo-se o pressuposto de que o controle de constitucionalidade é inerente a qua</w:t>
      </w:r>
      <w:r w:rsidR="00C13B15">
        <w:rPr>
          <w:rFonts w:ascii="Arial" w:hAnsi="Arial" w:cs="Arial"/>
        </w:rPr>
        <w:t>is</w:t>
      </w:r>
      <w:r w:rsidRPr="00946F6D">
        <w:rPr>
          <w:rFonts w:ascii="Arial" w:hAnsi="Arial" w:cs="Arial"/>
        </w:rPr>
        <w:t>quer atividade</w:t>
      </w:r>
      <w:r w:rsidR="00C13B15">
        <w:rPr>
          <w:rFonts w:ascii="Arial" w:hAnsi="Arial" w:cs="Arial"/>
        </w:rPr>
        <w:t>s</w:t>
      </w:r>
      <w:r w:rsidRPr="00946F6D">
        <w:rPr>
          <w:rFonts w:ascii="Arial" w:hAnsi="Arial" w:cs="Arial"/>
        </w:rPr>
        <w:t xml:space="preserve"> jurisdiciona</w:t>
      </w:r>
      <w:r w:rsidR="00C13B15">
        <w:rPr>
          <w:rFonts w:ascii="Arial" w:hAnsi="Arial" w:cs="Arial"/>
        </w:rPr>
        <w:t>is</w:t>
      </w:r>
      <w:r w:rsidRPr="00946F6D">
        <w:rPr>
          <w:rFonts w:ascii="Arial" w:hAnsi="Arial" w:cs="Arial"/>
        </w:rPr>
        <w:t>. Na sequência, questionam-se a viabilidade e a pertinência de os árbitros exercerem tal controle, a considerarem-se as principais formas de fiscalização, como, por exemplo, a declaração incidental de supostas inconstitucionalidades. Além disso, são examinadas as particularidades processuais da atuação do árbitro como “juiz constitucional” e, conjuntamente, o modo pelo qual os árbitros têm se comportado diante da tal supremacia, tendo-se a finalidade de investigar a coisa julgada arbitral e sua questão constitucional</w:t>
      </w:r>
      <w:r w:rsidR="0009088C" w:rsidRPr="00D06786">
        <w:rPr>
          <w:rFonts w:ascii="Arial" w:hAnsi="Arial" w:cs="Arial"/>
        </w:rPr>
        <w:t>.</w:t>
      </w:r>
    </w:p>
    <w:p w14:paraId="13CA3BCF" w14:textId="77777777" w:rsidR="00DA79EE" w:rsidRPr="00D06786" w:rsidRDefault="00DA79EE" w:rsidP="00D06786">
      <w:pPr>
        <w:pStyle w:val="Corpodetexto"/>
        <w:spacing w:before="1" w:line="360" w:lineRule="auto"/>
        <w:rPr>
          <w:rFonts w:ascii="Arial" w:hAnsi="Arial" w:cs="Arial"/>
          <w:sz w:val="36"/>
        </w:rPr>
      </w:pPr>
    </w:p>
    <w:p w14:paraId="2619FCD8" w14:textId="5B6DD8DA" w:rsidR="00624EF4" w:rsidRPr="00D06786" w:rsidRDefault="0009088C" w:rsidP="00566BCA">
      <w:pPr>
        <w:pStyle w:val="Corpodetexto"/>
        <w:spacing w:line="360" w:lineRule="auto"/>
        <w:ind w:left="102" w:right="108"/>
        <w:jc w:val="both"/>
        <w:rPr>
          <w:rFonts w:ascii="Arial" w:hAnsi="Arial" w:cs="Arial"/>
        </w:rPr>
      </w:pPr>
      <w:r w:rsidRPr="00D06786">
        <w:rPr>
          <w:rFonts w:ascii="Arial" w:hAnsi="Arial" w:cs="Arial"/>
          <w:b/>
        </w:rPr>
        <w:t xml:space="preserve">Palavras-chave: </w:t>
      </w:r>
      <w:r w:rsidR="00946F6D">
        <w:rPr>
          <w:rFonts w:ascii="Arial" w:hAnsi="Arial" w:cs="Arial"/>
        </w:rPr>
        <w:t>Arbitragem comercial; c</w:t>
      </w:r>
      <w:r w:rsidR="00946F6D" w:rsidRPr="00C5248E">
        <w:rPr>
          <w:rFonts w:ascii="Arial" w:hAnsi="Arial" w:cs="Arial"/>
        </w:rPr>
        <w:t xml:space="preserve">ontrole de constitucionalidade; </w:t>
      </w:r>
      <w:r w:rsidR="00946F6D">
        <w:rPr>
          <w:rFonts w:ascii="Arial" w:hAnsi="Arial" w:cs="Arial"/>
        </w:rPr>
        <w:t>deveres dos árbitros; p</w:t>
      </w:r>
      <w:r w:rsidR="00946F6D" w:rsidRPr="00B3701C">
        <w:rPr>
          <w:rFonts w:ascii="Arial" w:hAnsi="Arial" w:cs="Arial"/>
        </w:rPr>
        <w:t>rocesso arbitral</w:t>
      </w:r>
      <w:r w:rsidR="00946F6D">
        <w:rPr>
          <w:rFonts w:ascii="Arial" w:hAnsi="Arial" w:cs="Arial"/>
        </w:rPr>
        <w:t>;</w:t>
      </w:r>
      <w:r w:rsidR="00946F6D" w:rsidRPr="00DA3A1C">
        <w:rPr>
          <w:rFonts w:ascii="Arial" w:hAnsi="Arial" w:cs="Arial"/>
        </w:rPr>
        <w:t xml:space="preserve"> </w:t>
      </w:r>
      <w:r w:rsidR="00946F6D">
        <w:rPr>
          <w:rFonts w:ascii="Arial" w:hAnsi="Arial" w:cs="Arial"/>
        </w:rPr>
        <w:t>s</w:t>
      </w:r>
      <w:r w:rsidR="00946F6D" w:rsidRPr="00B3701C">
        <w:rPr>
          <w:rFonts w:ascii="Arial" w:hAnsi="Arial" w:cs="Arial"/>
        </w:rPr>
        <w:t>upremacia da Constituição</w:t>
      </w:r>
      <w:r w:rsidR="00946F6D">
        <w:rPr>
          <w:rFonts w:ascii="Arial" w:hAnsi="Arial" w:cs="Arial"/>
        </w:rPr>
        <w:t>.</w:t>
      </w:r>
    </w:p>
    <w:sectPr w:rsidR="00624EF4" w:rsidRPr="00D06786">
      <w:headerReference w:type="default" r:id="rId7"/>
      <w:type w:val="continuous"/>
      <w:pgSz w:w="11910" w:h="16840"/>
      <w:pgMar w:top="15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F791" w14:textId="77777777" w:rsidR="005939F3" w:rsidRDefault="005939F3" w:rsidP="00624EF4">
      <w:r>
        <w:separator/>
      </w:r>
    </w:p>
  </w:endnote>
  <w:endnote w:type="continuationSeparator" w:id="0">
    <w:p w14:paraId="0CD852C8" w14:textId="77777777" w:rsidR="005939F3" w:rsidRDefault="005939F3" w:rsidP="0062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6A8B" w14:textId="77777777" w:rsidR="005939F3" w:rsidRDefault="005939F3" w:rsidP="00624EF4">
      <w:r>
        <w:separator/>
      </w:r>
    </w:p>
  </w:footnote>
  <w:footnote w:type="continuationSeparator" w:id="0">
    <w:p w14:paraId="79894E68" w14:textId="77777777" w:rsidR="005939F3" w:rsidRDefault="005939F3" w:rsidP="0062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jc w:val="center"/>
      <w:tblBorders>
        <w:top w:val="thinThickSmallGap" w:sz="24" w:space="0" w:color="7F7F7F"/>
        <w:bottom w:val="thinThickSmallGap" w:sz="24" w:space="0" w:color="7F7F7F"/>
      </w:tblBorders>
      <w:tblLook w:val="04A0" w:firstRow="1" w:lastRow="0" w:firstColumn="1" w:lastColumn="0" w:noHBand="0" w:noVBand="1"/>
    </w:tblPr>
    <w:tblGrid>
      <w:gridCol w:w="2586"/>
      <w:gridCol w:w="282"/>
      <w:gridCol w:w="7212"/>
    </w:tblGrid>
    <w:tr w:rsidR="00624EF4" w:rsidRPr="00624EF4" w14:paraId="716AF63D" w14:textId="77777777" w:rsidTr="00624EF4">
      <w:trPr>
        <w:trHeight w:val="1388"/>
        <w:jc w:val="center"/>
      </w:trPr>
      <w:tc>
        <w:tcPr>
          <w:tcW w:w="2586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0D7D0C42" w14:textId="77777777" w:rsidR="00624EF4" w:rsidRPr="00B2773C" w:rsidRDefault="00624EF4" w:rsidP="00624EF4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F7576D3" wp14:editId="485C4F73">
                <wp:extent cx="1495425" cy="733425"/>
                <wp:effectExtent l="0" t="0" r="9525" b="0"/>
                <wp:docPr id="1" name="Imagem 1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desenh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114BF567" w14:textId="77777777" w:rsidR="00624EF4" w:rsidRPr="00B2773C" w:rsidRDefault="00624EF4" w:rsidP="00624EF4">
          <w:pPr>
            <w:tabs>
              <w:tab w:val="center" w:pos="4252"/>
              <w:tab w:val="right" w:pos="8504"/>
            </w:tabs>
            <w:ind w:left="-638" w:hanging="141"/>
            <w:rPr>
              <w:rFonts w:ascii="Calibri" w:eastAsia="Calibri" w:hAnsi="Calibri"/>
            </w:rPr>
          </w:pPr>
        </w:p>
      </w:tc>
      <w:tc>
        <w:tcPr>
          <w:tcW w:w="721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2A123774" w14:textId="77777777" w:rsidR="00624EF4" w:rsidRPr="00624EF4" w:rsidRDefault="00624EF4" w:rsidP="00624EF4">
          <w:pPr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14:paraId="17E6181D" w14:textId="77777777" w:rsidR="00624EF4" w:rsidRPr="00624EF4" w:rsidRDefault="00624EF4" w:rsidP="00624EF4">
          <w:pPr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  <w:r w:rsidRPr="00624EF4"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  <w:t>Faculdade de Direito da</w:t>
          </w:r>
        </w:p>
        <w:p w14:paraId="7137C223" w14:textId="77777777" w:rsidR="00624EF4" w:rsidRPr="00624EF4" w:rsidRDefault="00624EF4" w:rsidP="00624EF4">
          <w:pPr>
            <w:jc w:val="center"/>
            <w:rPr>
              <w:rFonts w:ascii="Candara" w:eastAsia="Calibri" w:hAnsi="Candara"/>
              <w:sz w:val="16"/>
              <w:szCs w:val="16"/>
            </w:rPr>
          </w:pPr>
          <w:r w:rsidRPr="00624EF4"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  <w:t>Fundação Escola Superior do ministério Público</w:t>
          </w:r>
        </w:p>
        <w:p w14:paraId="031F9C00" w14:textId="77777777" w:rsidR="00624EF4" w:rsidRPr="00624EF4" w:rsidRDefault="00624EF4" w:rsidP="00624EF4">
          <w:pPr>
            <w:jc w:val="center"/>
            <w:rPr>
              <w:rFonts w:ascii="Candara" w:eastAsia="Calibri" w:hAnsi="Candara" w:cs="Lucida Sans Unicode"/>
              <w:sz w:val="16"/>
              <w:szCs w:val="16"/>
            </w:rPr>
          </w:pPr>
          <w:r w:rsidRPr="00624EF4">
            <w:rPr>
              <w:rFonts w:ascii="Candara" w:eastAsia="Calibri" w:hAnsi="Candara" w:cs="Lucida Sans Unicode"/>
              <w:sz w:val="16"/>
              <w:szCs w:val="16"/>
            </w:rPr>
            <w:t>Recredenciada pela Portaria MEC nº 2.132/2019 – DOU nº 240 de 12/12/2019 p.66, Seção 1.</w:t>
          </w:r>
        </w:p>
        <w:p w14:paraId="6EB05309" w14:textId="77777777" w:rsidR="00624EF4" w:rsidRPr="00624EF4" w:rsidRDefault="00624EF4" w:rsidP="00624EF4">
          <w:pPr>
            <w:jc w:val="center"/>
            <w:rPr>
              <w:rFonts w:ascii="Candara" w:eastAsia="Calibri" w:hAnsi="Candara" w:cs="Lucida Sans Unicode"/>
              <w:sz w:val="16"/>
              <w:szCs w:val="16"/>
            </w:rPr>
          </w:pPr>
        </w:p>
        <w:p w14:paraId="7D6E7276" w14:textId="77777777" w:rsidR="00624EF4" w:rsidRPr="00624EF4" w:rsidRDefault="00624EF4" w:rsidP="00624EF4">
          <w:pPr>
            <w:jc w:val="center"/>
            <w:rPr>
              <w:rFonts w:ascii="Candara" w:eastAsia="Calibri" w:hAnsi="Candara"/>
              <w:sz w:val="16"/>
              <w:szCs w:val="16"/>
            </w:rPr>
          </w:pPr>
          <w:r w:rsidRPr="00624EF4"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  <w:t>Curso de Graduação em Direito</w:t>
          </w:r>
        </w:p>
        <w:p w14:paraId="112A02E5" w14:textId="77777777" w:rsidR="00624EF4" w:rsidRPr="00624EF4" w:rsidRDefault="00624EF4" w:rsidP="00624EF4">
          <w:pPr>
            <w:jc w:val="center"/>
            <w:rPr>
              <w:rFonts w:ascii="Candara" w:eastAsia="Calibri" w:hAnsi="Candara" w:cs="Lucida Sans Unicode"/>
              <w:sz w:val="16"/>
              <w:szCs w:val="16"/>
            </w:rPr>
          </w:pPr>
          <w:r w:rsidRPr="00624EF4">
            <w:rPr>
              <w:rFonts w:ascii="Candara" w:eastAsia="Calibri" w:hAnsi="Candara" w:cs="Lucida Sans Unicode"/>
              <w:sz w:val="16"/>
              <w:szCs w:val="16"/>
            </w:rPr>
            <w:t>Renovação de reconhecimento pela Portaria MEC nº 207/2020 – DOU nº 128 de 7/7/2020, p.66, Seção 1.</w:t>
          </w:r>
        </w:p>
        <w:p w14:paraId="13BDBF92" w14:textId="77777777" w:rsidR="00624EF4" w:rsidRPr="00624EF4" w:rsidRDefault="00624EF4" w:rsidP="00624EF4">
          <w:pPr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14:paraId="266BAF57" w14:textId="77777777" w:rsidR="00624EF4" w:rsidRDefault="00624E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EE"/>
    <w:rsid w:val="0009088C"/>
    <w:rsid w:val="00477B10"/>
    <w:rsid w:val="00566BCA"/>
    <w:rsid w:val="005939F3"/>
    <w:rsid w:val="00624EF4"/>
    <w:rsid w:val="006F4093"/>
    <w:rsid w:val="007F3699"/>
    <w:rsid w:val="00946F6D"/>
    <w:rsid w:val="00980A25"/>
    <w:rsid w:val="009F6170"/>
    <w:rsid w:val="00A26D89"/>
    <w:rsid w:val="00C13B15"/>
    <w:rsid w:val="00D06786"/>
    <w:rsid w:val="00D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6358"/>
  <w15:docId w15:val="{75FA6EFD-8E81-4D8E-9590-5A410E0E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4"/>
      <w:ind w:left="4093" w:right="41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24E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4E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4E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4EF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F2CD-E39B-49D2-B15C-4AC448F6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Cristini Fernandes Borth Klippel</dc:creator>
  <cp:lastModifiedBy>Gilberto Pacheco Pupe</cp:lastModifiedBy>
  <cp:revision>3</cp:revision>
  <cp:lastPrinted>2022-02-16T17:48:00Z</cp:lastPrinted>
  <dcterms:created xsi:type="dcterms:W3CDTF">2023-07-31T04:27:00Z</dcterms:created>
  <dcterms:modified xsi:type="dcterms:W3CDTF">2023-07-31T04:32:00Z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2021-12-20T00:00:00Z</vt:filetime>
  </property>
</Properties>
</file>